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5</Pages>
  <Words>381</Words>
  <Characters>2178</Characters>
  <DocSecurity>0</DocSecurity>
  <Lines>18</Lines>
  <Paragraphs>5</Paragraphs>
  <ScaleCrop>false</ScaleCrop>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2022-08-09T04:11:00Z</cp:lastPrinted>
  <dcterms:created xsi:type="dcterms:W3CDTF">2022-08-15T11:45:00Z</dcterms:created>
  <dcterms:modified xsi:type="dcterms:W3CDTF">2025-09-18T02:50:00Z</dcterms:modified>
</cp:coreProperties>
</file>